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55" w:rsidRPr="00BD4855" w:rsidRDefault="00BD4855" w:rsidP="00BD4855">
      <w:pPr>
        <w:pStyle w:val="Header"/>
        <w:rPr>
          <w:rFonts w:ascii="Arial" w:hAnsi="Arial"/>
          <w:b/>
          <w:sz w:val="20"/>
        </w:rPr>
      </w:pPr>
    </w:p>
    <w:p w:rsidR="00E85DE1" w:rsidRPr="00F17693" w:rsidRDefault="00BD4855" w:rsidP="00BD4855">
      <w:pPr>
        <w:pStyle w:val="Header"/>
        <w:rPr>
          <w:rFonts w:ascii="Arial" w:hAnsi="Arial"/>
          <w:sz w:val="20"/>
        </w:rPr>
      </w:pPr>
      <w:r w:rsidRPr="00BD4855">
        <w:rPr>
          <w:rFonts w:ascii="Arial" w:hAnsi="Arial"/>
          <w:b/>
          <w:bCs/>
          <w:sz w:val="20"/>
        </w:rPr>
        <w:t>Be a Scanning Probe Microscope</w:t>
      </w:r>
      <w:r w:rsidR="00E85DE1" w:rsidRPr="00F17693">
        <w:rPr>
          <w:rFonts w:ascii="Arial" w:hAnsi="Arial"/>
          <w:sz w:val="20"/>
        </w:rPr>
        <w:br/>
      </w:r>
      <w:r w:rsidRPr="00BD4855">
        <w:rPr>
          <w:rFonts w:ascii="Arial" w:hAnsi="Arial"/>
          <w:sz w:val="20"/>
        </w:rPr>
        <w:t>Lesson focuses on how engineers have developed and use special tools that can observe the landscape of materials when they are working at the nano scale. Students learn about Scanning Probe Microscopes (SPM) and then work in teams using a pencil to explore and identify the shape of objects they cannot see, just as the SPM does at the nano level. They draw what their mind "sees" on paper, compare their results with other student teams, and share observations with their class.</w:t>
      </w:r>
    </w:p>
    <w:p w:rsidR="00E85DE1" w:rsidRDefault="00E85D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04"/>
        <w:gridCol w:w="2304"/>
        <w:gridCol w:w="2304"/>
        <w:gridCol w:w="2304"/>
        <w:gridCol w:w="2304"/>
        <w:gridCol w:w="2304"/>
      </w:tblGrid>
      <w:tr w:rsidR="00E85DE1" w:rsidRPr="00C240DB" w:rsidTr="00C240DB">
        <w:trPr>
          <w:tblHeader/>
        </w:trPr>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3</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4</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5</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6</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7</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8</w:t>
            </w:r>
          </w:p>
        </w:tc>
      </w:tr>
      <w:tr w:rsidR="00E85DE1" w:rsidRPr="00C240DB" w:rsidTr="00C240DB">
        <w:trPr>
          <w:trHeight w:val="314"/>
        </w:trPr>
        <w:tc>
          <w:tcPr>
            <w:tcW w:w="13824" w:type="dxa"/>
            <w:gridSpan w:val="6"/>
            <w:vAlign w:val="center"/>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r w:rsidRPr="00C240DB">
              <w:rPr>
                <w:rFonts w:ascii="Arial" w:hAnsi="Arial" w:cs="Arial"/>
                <w:b/>
                <w:i/>
                <w:iCs/>
                <w:color w:val="000000"/>
                <w:sz w:val="20"/>
                <w:szCs w:val="17"/>
              </w:rPr>
              <w:t>Strand:  Scientific Investigation and Reasoning</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and the use of safety equipment as described in the Texas Safety Standards during classroom and outdoor investigations.</w:t>
            </w:r>
          </w:p>
          <w:p w:rsidR="00E85DE1" w:rsidRPr="00C240DB" w:rsidRDefault="00E85DE1" w:rsidP="00616E15"/>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and the use of safety equipment as described in the Texas Safety Standards during classroom and outdoor investigations.</w:t>
            </w:r>
          </w:p>
          <w:p w:rsidR="00E85DE1" w:rsidRPr="00C240DB" w:rsidRDefault="00E85DE1" w:rsidP="00616E15"/>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82CCA"/>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82CCA"/>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2663F"/>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use and conservation of natural resources by recycling or reusing materials such as paper, aluminum cans, and plastics.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conservation, disposal, and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r>
      <w:tr w:rsidR="00E85DE1" w:rsidRPr="00C240DB" w:rsidTr="00C240DB">
        <w:trPr>
          <w:trHeight w:val="1979"/>
        </w:trPr>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BF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r>
      <w:tr w:rsidR="00E85DE1" w:rsidRPr="00C240DB" w:rsidTr="006C0E94">
        <w:trPr>
          <w:trHeight w:val="1475"/>
        </w:trPr>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Collect data by observing and measuring using the metric system and recognize differences between observed and measured data.</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Ask well-defined questions, formulate testable hypotheses, and select and use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BF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BF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2.C  Collect information by detailed observations and accurate measuring.</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 xml:space="preserve">2.C  Collect and record data using the International System of Units (SI) and qualitative means such as </w:t>
            </w:r>
            <w:r w:rsidRPr="00C240DB">
              <w:rPr>
                <w:rFonts w:ascii="Arial" w:hAnsi="Arial" w:cs="Arial"/>
                <w:color w:val="000000"/>
                <w:sz w:val="17"/>
                <w:szCs w:val="17"/>
              </w:rPr>
              <w:lastRenderedPageBreak/>
              <w:t>labeled drawings, writing, and graphic organizers.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 xml:space="preserve">2.C  Collect and record data using the International System of Units (SI) and qualitative means such as </w:t>
            </w:r>
            <w:r w:rsidRPr="00C240DB">
              <w:rPr>
                <w:rFonts w:ascii="Arial" w:hAnsi="Arial" w:cs="Arial"/>
                <w:color w:val="000000"/>
                <w:sz w:val="17"/>
                <w:szCs w:val="17"/>
              </w:rPr>
              <w:lastRenderedPageBreak/>
              <w:t>labeled drawings, writing, and graphic organizers.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 xml:space="preserve">2.C  Collect and record data using the International System of Units (SI) and qualitative means such as </w:t>
            </w:r>
            <w:r w:rsidRPr="00C240DB">
              <w:rPr>
                <w:rFonts w:ascii="Arial" w:hAnsi="Arial" w:cs="Arial"/>
                <w:color w:val="000000"/>
                <w:sz w:val="17"/>
                <w:szCs w:val="17"/>
              </w:rPr>
              <w:lastRenderedPageBreak/>
              <w:t>labeled drawings, writing, and graphic organizers.</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2.D  Analyze and interpret patterns in data to construct reasonable explanations based on evidence from investigations.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Analyze data and interpret patterns to construct reasonable explanations from data that can be observed and measured.</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Analyze and interpret information to construct reasonable explanations from direct (observable) and indirect (inferred) evidence.</w:t>
            </w:r>
          </w:p>
        </w:tc>
        <w:tc>
          <w:tcPr>
            <w:tcW w:w="2304" w:type="dxa"/>
          </w:tcPr>
          <w:p w:rsidR="00E85DE1" w:rsidRPr="00C240DB" w:rsidRDefault="00BF5419"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c>
          <w:tcPr>
            <w:tcW w:w="2304" w:type="dxa"/>
          </w:tcPr>
          <w:p w:rsidR="00E85DE1" w:rsidRPr="00C240DB" w:rsidRDefault="00BF5419" w:rsidP="00BF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c>
          <w:tcPr>
            <w:tcW w:w="2304" w:type="dxa"/>
          </w:tcPr>
          <w:p w:rsidR="00E85DE1" w:rsidRPr="00C240DB" w:rsidRDefault="00BF5419" w:rsidP="00BF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conclusions supported by data in writing, by drawing pictures, and through verbal discussion.</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oral and written results supported by data.</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conclusions in both written and verbal forms.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3.D  Connect grade level appropriate science concepts with the history of science, science careers and contributions of scientists.</w:t>
            </w:r>
          </w:p>
        </w:tc>
        <w:tc>
          <w:tcPr>
            <w:tcW w:w="2304" w:type="dxa"/>
          </w:tcPr>
          <w:p w:rsidR="00E85DE1" w:rsidRPr="00C240DB" w:rsidRDefault="00E85DE1" w:rsidP="00616E15">
            <w:r w:rsidRPr="00C240DB">
              <w:rPr>
                <w:rFonts w:ascii="Arial" w:hAnsi="Arial" w:cs="Arial"/>
                <w:color w:val="000000"/>
                <w:sz w:val="17"/>
                <w:szCs w:val="17"/>
              </w:rPr>
              <w:t>3.D  Connect grade-level appropriate science concepts with the history of science, science careers, and contributions of scientists.</w:t>
            </w:r>
          </w:p>
        </w:tc>
        <w:tc>
          <w:tcPr>
            <w:tcW w:w="2304" w:type="dxa"/>
          </w:tcPr>
          <w:p w:rsidR="00E85DE1" w:rsidRPr="00C240DB" w:rsidRDefault="00E85DE1" w:rsidP="00616E15">
            <w:r w:rsidRPr="00C240DB">
              <w:rPr>
                <w:rFonts w:ascii="Arial" w:hAnsi="Arial" w:cs="Arial"/>
                <w:color w:val="000000"/>
                <w:sz w:val="17"/>
                <w:szCs w:val="17"/>
              </w:rPr>
              <w:t>3.D  Connect grade-level appropriate science concepts with the history of science, science careers, and contributions of scientists.</w:t>
            </w:r>
          </w:p>
        </w:tc>
        <w:tc>
          <w:tcPr>
            <w:tcW w:w="2304" w:type="dxa"/>
          </w:tcPr>
          <w:p w:rsidR="00E85DE1" w:rsidRPr="00C240DB" w:rsidRDefault="00E85DE1" w:rsidP="00282CCA">
            <w:r w:rsidRPr="00C240DB">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304" w:type="dxa"/>
          </w:tcPr>
          <w:p w:rsidR="00E85DE1" w:rsidRPr="00C240DB" w:rsidRDefault="00E85DE1" w:rsidP="00282CCA">
            <w:r w:rsidRPr="00C240DB">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304" w:type="dxa"/>
          </w:tcPr>
          <w:p w:rsidR="00E85DE1" w:rsidRPr="00C240DB" w:rsidRDefault="00E85DE1" w:rsidP="0022663F">
            <w:r w:rsidRPr="00C240DB">
              <w:rPr>
                <w:rFonts w:ascii="Arial" w:hAnsi="Arial" w:cs="Arial"/>
                <w:color w:val="000000"/>
                <w:sz w:val="17"/>
                <w:szCs w:val="17"/>
              </w:rPr>
              <w:t>3.D  Relate the impact of research on scientific thought and society including the history of science and contributions of scientists as related to the content.</w:t>
            </w:r>
          </w:p>
        </w:tc>
      </w:tr>
      <w:tr w:rsidR="00E85DE1" w:rsidRPr="00C240DB" w:rsidTr="00C240DB">
        <w:trPr>
          <w:trHeight w:val="350"/>
        </w:trPr>
        <w:tc>
          <w:tcPr>
            <w:tcW w:w="13824" w:type="dxa"/>
            <w:gridSpan w:val="6"/>
            <w:vAlign w:val="center"/>
          </w:tcPr>
          <w:p w:rsidR="00E85DE1" w:rsidRPr="006C0E94" w:rsidRDefault="00E85DE1" w:rsidP="00C240DB">
            <w:pPr>
              <w:jc w:val="center"/>
              <w:rPr>
                <w:rFonts w:ascii="Arial Bold" w:hAnsi="Arial Bold"/>
                <w:i/>
                <w:sz w:val="20"/>
              </w:rPr>
            </w:pPr>
            <w:r w:rsidRPr="006C0E94">
              <w:rPr>
                <w:rFonts w:ascii="Arial Bold" w:hAnsi="Arial Bold"/>
                <w:i/>
                <w:sz w:val="20"/>
              </w:rPr>
              <w:t>Strand:  Matter and Energy</w:t>
            </w:r>
          </w:p>
        </w:tc>
      </w:tr>
      <w:tr w:rsidR="00E85DE1" w:rsidRPr="00C240DB" w:rsidTr="00C240DB">
        <w:tc>
          <w:tcPr>
            <w:tcW w:w="2304" w:type="dxa"/>
          </w:tcPr>
          <w:p w:rsidR="00E85DE1" w:rsidRPr="00C240DB" w:rsidRDefault="00E85DE1" w:rsidP="00616E15">
            <w:pPr>
              <w:rPr>
                <w:rFonts w:ascii="Arial" w:hAnsi="Arial" w:cs="Arial"/>
                <w:color w:val="000000"/>
                <w:sz w:val="17"/>
                <w:szCs w:val="17"/>
              </w:rPr>
            </w:pPr>
            <w:r w:rsidRPr="00C240DB">
              <w:rPr>
                <w:rFonts w:ascii="Arial" w:hAnsi="Arial" w:cs="Arial"/>
                <w:color w:val="000000"/>
                <w:sz w:val="17"/>
                <w:szCs w:val="17"/>
              </w:rPr>
              <w:t>5.A  Measure, test, and record physical properties of matter including temperature, mass, magnetism, and the ability to sink or float.</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5.A  Measure, compare, and contrast physical properties of matter including size, mass, volume, states (solid, liquid, gas), temperature, magnetism, and the ability to sink or float.</w:t>
            </w:r>
          </w:p>
          <w:p w:rsidR="00E85DE1" w:rsidRPr="00C240DB" w:rsidRDefault="00E85DE1" w:rsidP="000C5321"/>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2304" w:type="dxa"/>
          </w:tcPr>
          <w:p w:rsidR="00E85DE1" w:rsidRPr="006C0E94" w:rsidRDefault="006C0E94" w:rsidP="00282CCA">
            <w:pPr>
              <w:rPr>
                <w:rFonts w:ascii="Arial" w:hAnsi="Arial" w:cs="Arial"/>
                <w:iCs/>
                <w:color w:val="000000"/>
                <w:sz w:val="17"/>
                <w:szCs w:val="17"/>
              </w:rPr>
            </w:pPr>
            <w:r w:rsidRPr="006C0E94">
              <w:rPr>
                <w:rFonts w:ascii="Arial" w:hAnsi="Arial" w:cs="Arial"/>
                <w:iCs/>
                <w:color w:val="000000"/>
                <w:sz w:val="17"/>
                <w:szCs w:val="17"/>
              </w:rPr>
              <w:t>6.A</w:t>
            </w:r>
            <w:r w:rsidRPr="006C0E94">
              <w:rPr>
                <w:rFonts w:ascii="Arial" w:hAnsi="Arial" w:cs="Arial"/>
                <w:b/>
                <w:iCs/>
                <w:color w:val="000000"/>
                <w:sz w:val="17"/>
                <w:szCs w:val="17"/>
              </w:rPr>
              <w:t xml:space="preserve">  </w:t>
            </w:r>
            <w:r w:rsidRPr="006C0E94">
              <w:rPr>
                <w:rFonts w:ascii="Arial" w:hAnsi="Arial" w:cs="Arial"/>
                <w:iCs/>
                <w:color w:val="000000"/>
                <w:sz w:val="17"/>
                <w:szCs w:val="17"/>
              </w:rPr>
              <w:t>Compare metals, nonmetals, and metalloids using physical properties such as luster, conductivity or malleability.</w:t>
            </w:r>
          </w:p>
        </w:tc>
        <w:tc>
          <w:tcPr>
            <w:tcW w:w="2304" w:type="dxa"/>
          </w:tcPr>
          <w:p w:rsidR="00E85DE1" w:rsidRPr="00C240DB" w:rsidRDefault="00E85DE1"/>
        </w:tc>
        <w:tc>
          <w:tcPr>
            <w:tcW w:w="2304" w:type="dxa"/>
          </w:tcPr>
          <w:p w:rsidR="00E85DE1" w:rsidRPr="00C240DB" w:rsidRDefault="00E85DE1"/>
        </w:tc>
      </w:tr>
    </w:tbl>
    <w:p w:rsidR="00E85DE1" w:rsidRDefault="00E85DE1"/>
    <w:sectPr w:rsidR="00E85DE1"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E1" w:rsidRDefault="00E85DE1" w:rsidP="00972123">
      <w:r>
        <w:separator/>
      </w:r>
    </w:p>
  </w:endnote>
  <w:endnote w:type="continuationSeparator" w:id="0">
    <w:p w:rsidR="00E85DE1" w:rsidRDefault="00E85DE1" w:rsidP="009721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Default="00EF0C61" w:rsidP="00784AEF">
    <w:pPr>
      <w:pStyle w:val="Footer"/>
      <w:framePr w:wrap="around" w:vAnchor="text" w:hAnchor="margin" w:xAlign="right" w:y="1"/>
      <w:rPr>
        <w:rStyle w:val="PageNumber"/>
      </w:rPr>
    </w:pPr>
    <w:r>
      <w:rPr>
        <w:rStyle w:val="PageNumber"/>
      </w:rPr>
      <w:fldChar w:fldCharType="begin"/>
    </w:r>
    <w:r w:rsidR="00E85DE1">
      <w:rPr>
        <w:rStyle w:val="PageNumber"/>
      </w:rPr>
      <w:instrText xml:space="preserve">PAGE  </w:instrText>
    </w:r>
    <w:r>
      <w:rPr>
        <w:rStyle w:val="PageNumber"/>
      </w:rPr>
      <w:fldChar w:fldCharType="end"/>
    </w:r>
  </w:p>
  <w:p w:rsidR="00E85DE1" w:rsidRDefault="00E85DE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Pr="00784AEF" w:rsidRDefault="00EF0C6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E85DE1"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6C0E94">
      <w:rPr>
        <w:rStyle w:val="PageNumber"/>
        <w:rFonts w:ascii="Arial" w:hAnsi="Arial"/>
        <w:noProof/>
        <w:sz w:val="20"/>
      </w:rPr>
      <w:t>1</w:t>
    </w:r>
    <w:r w:rsidRPr="00784AEF">
      <w:rPr>
        <w:rStyle w:val="PageNumber"/>
        <w:rFonts w:ascii="Arial" w:hAnsi="Arial"/>
        <w:sz w:val="20"/>
      </w:rPr>
      <w:fldChar w:fldCharType="end"/>
    </w:r>
  </w:p>
  <w:p w:rsidR="00E85DE1" w:rsidRPr="00971F47" w:rsidRDefault="00BD4855"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E85DE1">
      <w:rPr>
        <w:rFonts w:ascii="Arial" w:hAnsi="Arial"/>
        <w:sz w:val="20"/>
      </w:rPr>
      <w:t xml:space="preserve">          </w:t>
    </w:r>
    <w:r w:rsidR="00E85DE1">
      <w:rPr>
        <w:rFonts w:ascii="Arial" w:hAnsi="Arial"/>
        <w:sz w:val="20"/>
      </w:rPr>
      <w:br/>
      <w:t xml:space="preserve">               </w:t>
    </w:r>
    <w:r w:rsidR="00E85DE1" w:rsidRPr="00971F47">
      <w:rPr>
        <w:rFonts w:ascii="Arial" w:hAnsi="Arial"/>
        <w:sz w:val="20"/>
      </w:rPr>
      <w:t>Alignment provided by Harris County Department of Education (</w:t>
    </w:r>
    <w:hyperlink r:id="rId2" w:history="1">
      <w:r w:rsidR="00E85DE1" w:rsidRPr="00971F47">
        <w:rPr>
          <w:rStyle w:val="Hyperlink"/>
          <w:rFonts w:ascii="Arial" w:hAnsi="Arial"/>
          <w:sz w:val="20"/>
        </w:rPr>
        <w:t>www.hcde-texas.org</w:t>
      </w:r>
    </w:hyperlink>
    <w:r w:rsidR="00E85DE1" w:rsidRPr="00971F47">
      <w:rPr>
        <w:rFonts w:ascii="Arial" w:hAnsi="Arial"/>
        <w:sz w:val="20"/>
      </w:rPr>
      <w:t>)</w:t>
    </w:r>
    <w:r w:rsidR="00E85DE1">
      <w:rPr>
        <w:rFonts w:ascii="Arial" w:hAnsi="Arial"/>
        <w:sz w:val="20"/>
      </w:rPr>
      <w:t>.</w:t>
    </w:r>
    <w:r w:rsidR="00E85DE1"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E1" w:rsidRDefault="00E85DE1" w:rsidP="00972123">
      <w:r>
        <w:separator/>
      </w:r>
    </w:p>
  </w:footnote>
  <w:footnote w:type="continuationSeparator" w:id="0">
    <w:p w:rsidR="00E85DE1" w:rsidRDefault="00E85DE1" w:rsidP="0097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Pr="00F17693" w:rsidRDefault="00E85DE1">
    <w:pPr>
      <w:pStyle w:val="Header"/>
      <w:rPr>
        <w:rFonts w:ascii="Arial Bold" w:hAnsi="Arial Bold"/>
        <w:sz w:val="20"/>
      </w:rPr>
    </w:pPr>
    <w:r w:rsidRPr="00F17693">
      <w:rPr>
        <w:rFonts w:ascii="Arial Bold" w:hAnsi="Arial Bold"/>
        <w:sz w:val="20"/>
      </w:rPr>
      <w:t>Alignment to Texas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47DEA"/>
    <w:rsid w:val="000C5321"/>
    <w:rsid w:val="0022663F"/>
    <w:rsid w:val="00261820"/>
    <w:rsid w:val="00282CCA"/>
    <w:rsid w:val="00453469"/>
    <w:rsid w:val="005F1F10"/>
    <w:rsid w:val="00616E15"/>
    <w:rsid w:val="006343AA"/>
    <w:rsid w:val="006C0E94"/>
    <w:rsid w:val="00784AEF"/>
    <w:rsid w:val="008426F4"/>
    <w:rsid w:val="00885F3A"/>
    <w:rsid w:val="00971F47"/>
    <w:rsid w:val="00972123"/>
    <w:rsid w:val="00A7223E"/>
    <w:rsid w:val="00BD4855"/>
    <w:rsid w:val="00BF5419"/>
    <w:rsid w:val="00C240DB"/>
    <w:rsid w:val="00E85DE1"/>
    <w:rsid w:val="00EC0956"/>
    <w:rsid w:val="00EF0C61"/>
    <w:rsid w:val="00F1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6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947</Words>
  <Characters>5798</Characters>
  <Application>Microsoft Office Word</Application>
  <DocSecurity>0</DocSecurity>
  <Lines>48</Lines>
  <Paragraphs>13</Paragraphs>
  <ScaleCrop>false</ScaleCrop>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Crystal Challenge</dc:title>
  <dc:subject/>
  <dc:creator>Lisa Felske</dc:creator>
  <cp:keywords/>
  <dc:description/>
  <cp:lastModifiedBy>lfelske</cp:lastModifiedBy>
  <cp:revision>4</cp:revision>
  <dcterms:created xsi:type="dcterms:W3CDTF">2011-08-29T19:28:00Z</dcterms:created>
  <dcterms:modified xsi:type="dcterms:W3CDTF">2011-08-29T19:38:00Z</dcterms:modified>
</cp:coreProperties>
</file>